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5"/>
        <w:tblW w:w="953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5940"/>
        <w:gridCol w:w="1952"/>
      </w:tblGrid>
      <w:tr w:rsidR="00FD0B59" w:rsidRPr="0073405F" w:rsidTr="00D40C96">
        <w:trPr>
          <w:trHeight w:val="1655"/>
        </w:trPr>
        <w:tc>
          <w:tcPr>
            <w:tcW w:w="1643" w:type="dxa"/>
            <w:shd w:val="clear" w:color="auto" w:fill="auto"/>
          </w:tcPr>
          <w:p w:rsidR="00FD0B59" w:rsidRPr="0073405F" w:rsidRDefault="00FD0B59" w:rsidP="00D40C96">
            <w:pPr>
              <w:rPr>
                <w:rFonts w:ascii="Book Antiqua" w:hAnsi="Book Antiqua"/>
                <w:b/>
              </w:rPr>
            </w:pPr>
            <w:r w:rsidRPr="0073405F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345D57F3" wp14:editId="7C03E2A2">
                  <wp:extent cx="962025" cy="10096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shd w:val="clear" w:color="auto" w:fill="auto"/>
          </w:tcPr>
          <w:p w:rsidR="00FD0B59" w:rsidRPr="00120C27" w:rsidRDefault="00FD0B59" w:rsidP="00D40C96">
            <w:pPr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eastAsia="sq-AL"/>
              </w:rPr>
            </w:pPr>
            <w:proofErr w:type="spellStart"/>
            <w:r w:rsidRPr="00120C27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Republika</w:t>
            </w:r>
            <w:proofErr w:type="spellEnd"/>
            <w:r w:rsidRPr="00120C27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120C27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Kosovës</w:t>
            </w:r>
            <w:proofErr w:type="spellEnd"/>
          </w:p>
          <w:p w:rsidR="00FD0B59" w:rsidRPr="00120C27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eastAsia="sq-AL"/>
              </w:rPr>
            </w:pPr>
            <w:proofErr w:type="spellStart"/>
            <w:r w:rsidRPr="00120C27">
              <w:rPr>
                <w:rFonts w:ascii="Book Antiqua" w:eastAsia="Batang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Republika</w:t>
            </w:r>
            <w:proofErr w:type="spellEnd"/>
            <w:r w:rsidRPr="00120C27">
              <w:rPr>
                <w:rFonts w:ascii="Book Antiqua" w:eastAsia="Batang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120C27">
              <w:rPr>
                <w:rFonts w:ascii="Book Antiqua" w:eastAsia="Batang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Kosova</w:t>
            </w:r>
            <w:proofErr w:type="spellEnd"/>
            <w:r w:rsidRPr="00120C27">
              <w:rPr>
                <w:rFonts w:ascii="Book Antiqua" w:eastAsia="Batang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- </w:t>
            </w:r>
            <w:r w:rsidRPr="00120C27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Republic of Kosovo</w:t>
            </w:r>
          </w:p>
          <w:p w:rsidR="00FD0B59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sq-AL"/>
              </w:rPr>
            </w:pPr>
            <w:proofErr w:type="spellStart"/>
            <w:r w:rsidRPr="00120C27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sq-AL"/>
              </w:rPr>
              <w:t>Qeveria</w:t>
            </w:r>
            <w:proofErr w:type="spellEnd"/>
            <w:r w:rsidRPr="00120C27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sq-AL"/>
              </w:rPr>
              <w:t xml:space="preserve"> - </w:t>
            </w:r>
            <w:proofErr w:type="spellStart"/>
            <w:r w:rsidRPr="00120C27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sq-AL"/>
              </w:rPr>
              <w:t>Vlada</w:t>
            </w:r>
            <w:proofErr w:type="spellEnd"/>
            <w:r w:rsidRPr="00120C27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sq-AL"/>
              </w:rPr>
              <w:t xml:space="preserve"> </w:t>
            </w:r>
            <w:r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sq-AL"/>
              </w:rPr>
              <w:t>–</w:t>
            </w:r>
            <w:r w:rsidRPr="00120C27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sq-AL"/>
              </w:rPr>
              <w:t xml:space="preserve"> Government</w:t>
            </w:r>
          </w:p>
          <w:p w:rsidR="00FD0B59" w:rsidRPr="00120C27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eastAsia="sq-AL"/>
              </w:rPr>
            </w:pPr>
          </w:p>
          <w:p w:rsidR="00FD0B59" w:rsidRPr="0055383B" w:rsidRDefault="00FD0B59" w:rsidP="00D40C96">
            <w:pPr>
              <w:jc w:val="center"/>
              <w:rPr>
                <w:rFonts w:ascii="Book Antiqua" w:eastAsia="MS Mincho" w:hAnsi="Book Antiqua"/>
                <w:b/>
                <w:bCs/>
                <w:i/>
                <w:color w:val="000000"/>
                <w:kern w:val="24"/>
                <w:sz w:val="16"/>
                <w:szCs w:val="16"/>
                <w:u w:val="single"/>
                <w:lang w:eastAsia="sq-AL"/>
              </w:rPr>
            </w:pPr>
            <w:proofErr w:type="spellStart"/>
            <w:r w:rsidRPr="0055383B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eastAsia="sq-AL"/>
              </w:rPr>
              <w:t>Ministria</w:t>
            </w:r>
            <w:proofErr w:type="spellEnd"/>
            <w:r w:rsidRPr="0055383B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Punëve</w:t>
            </w:r>
            <w:proofErr w:type="spellEnd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të</w:t>
            </w:r>
            <w:proofErr w:type="spellEnd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Brendshme</w:t>
            </w:r>
            <w:proofErr w:type="spellEnd"/>
            <w:r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eastAsia="sq-AL"/>
              </w:rPr>
              <w:t xml:space="preserve"> /</w:t>
            </w:r>
            <w:proofErr w:type="spellStart"/>
            <w:r w:rsidRPr="0055383B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eastAsia="sq-AL"/>
              </w:rPr>
              <w:t>Ministarstvo</w:t>
            </w:r>
            <w:proofErr w:type="spellEnd"/>
            <w:r w:rsidRPr="0055383B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Unutrašnjih</w:t>
            </w:r>
            <w:proofErr w:type="spellEnd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Poslova</w:t>
            </w:r>
            <w:proofErr w:type="spellEnd"/>
            <w:r w:rsidRPr="0055383B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</w:t>
            </w:r>
            <w:r>
              <w:rPr>
                <w:rFonts w:ascii="Book Antiqua" w:eastAsia="MS Mincho" w:hAnsi="Book Antiqua"/>
                <w:b/>
                <w:bCs/>
                <w:i/>
                <w:color w:val="000000"/>
                <w:kern w:val="24"/>
                <w:sz w:val="16"/>
                <w:szCs w:val="16"/>
                <w:lang w:eastAsia="sq-AL"/>
              </w:rPr>
              <w:t xml:space="preserve">/ </w:t>
            </w:r>
            <w:r w:rsidRPr="0055383B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eastAsia="sq-AL"/>
              </w:rPr>
              <w:t xml:space="preserve">Ministry of </w:t>
            </w:r>
            <w:r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Internal Affairs</w:t>
            </w:r>
          </w:p>
          <w:p w:rsidR="00FD0B59" w:rsidRPr="00120C27" w:rsidRDefault="00FD0B59" w:rsidP="00D40C96">
            <w:pPr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eastAsia="sq-AL"/>
              </w:rPr>
            </w:pPr>
          </w:p>
          <w:p w:rsidR="00FD0B59" w:rsidRPr="00120C27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eastAsia="sq-AL"/>
              </w:rPr>
            </w:pPr>
            <w:r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INSTITUTI I KOSOVËS PËR ADMINISTRATË</w:t>
            </w:r>
            <w:r w:rsidRPr="00120C27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PUBLIKE</w:t>
            </w:r>
          </w:p>
          <w:p w:rsidR="00FD0B59" w:rsidRPr="00120C27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eastAsia="sq-AL"/>
              </w:rPr>
            </w:pPr>
            <w:r w:rsidRPr="00120C27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>INSTITUT KOSOVA ZA JAVNU ADMINISTRACIJU</w:t>
            </w:r>
          </w:p>
          <w:p w:rsidR="00FD0B59" w:rsidRPr="0073405F" w:rsidRDefault="00FD0B59" w:rsidP="00D40C96">
            <w:pPr>
              <w:jc w:val="center"/>
              <w:rPr>
                <w:rFonts w:ascii="Book Antiqua" w:hAnsi="Book Antiqua"/>
                <w:b/>
              </w:rPr>
            </w:pPr>
            <w:r w:rsidRPr="00120C27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eastAsia="sq-AL"/>
              </w:rPr>
              <w:t xml:space="preserve">   KOSOVO INSTITUTE FOR PUBLIC ADMINISTRATION</w:t>
            </w:r>
          </w:p>
        </w:tc>
        <w:tc>
          <w:tcPr>
            <w:tcW w:w="1952" w:type="dxa"/>
            <w:shd w:val="clear" w:color="auto" w:fill="auto"/>
          </w:tcPr>
          <w:p w:rsidR="00FD0B59" w:rsidRPr="0073405F" w:rsidRDefault="00FD0B59" w:rsidP="00D40C96">
            <w:pPr>
              <w:tabs>
                <w:tab w:val="left" w:pos="1709"/>
              </w:tabs>
              <w:rPr>
                <w:rFonts w:ascii="Book Antiqua" w:hAnsi="Book Antiqua"/>
                <w:b/>
              </w:rPr>
            </w:pPr>
            <w:r w:rsidRPr="0073405F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3C1A6D7E" wp14:editId="5CE7525D">
                  <wp:extent cx="1066800" cy="9429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B59" w:rsidRDefault="00FD0B59" w:rsidP="009B0BF7">
      <w:pPr>
        <w:spacing w:before="100" w:beforeAutospacing="1" w:after="100" w:afterAutospacing="1"/>
        <w:jc w:val="both"/>
        <w:rPr>
          <w:rFonts w:eastAsia="Times New Roman" w:cstheme="minorHAnsi"/>
          <w:lang w:val="sq-AL" w:eastAsia="en-GB"/>
        </w:rPr>
      </w:pPr>
    </w:p>
    <w:p w:rsidR="00812788" w:rsidRDefault="00812788" w:rsidP="0098411F">
      <w:pPr>
        <w:widowControl w:val="0"/>
        <w:autoSpaceDE w:val="0"/>
        <w:autoSpaceDN w:val="0"/>
        <w:spacing w:before="1"/>
        <w:ind w:left="100" w:right="118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812788" w:rsidRPr="00812788" w:rsidRDefault="00812788" w:rsidP="00812788">
      <w:pPr>
        <w:widowControl w:val="0"/>
        <w:autoSpaceDE w:val="0"/>
        <w:autoSpaceDN w:val="0"/>
        <w:spacing w:before="1"/>
        <w:ind w:left="100" w:right="118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812788" w:rsidRPr="00812788" w:rsidRDefault="00812788" w:rsidP="00812788">
      <w:pPr>
        <w:widowControl w:val="0"/>
        <w:autoSpaceDE w:val="0"/>
        <w:autoSpaceDN w:val="0"/>
        <w:spacing w:before="1"/>
        <w:ind w:left="100" w:right="118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Instituti i Kosovës për Administratë Publike (IKAP) në bashkëpunim me Institutin Kombëtar Demokratik (NDI) dhe në koordinim me Zyrën Ligjore të Zyrës së Kryeministrit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 xml:space="preserve"> dhe 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>në  zbatim   të agjendës së Qeverisë të Republikës së Kosovës,  në bazë të Udhëzimit Administrativ (QRK)  Nr. 13/2018 për Kushtet, Angazhimin, Kategorizimin dhe Mënyrën e Pagesës së Trajnerëve në Institutin e Kosovës për Administratë Publike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>,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 shpall:</w:t>
      </w:r>
    </w:p>
    <w:p w:rsidR="00812788" w:rsidRPr="00812788" w:rsidRDefault="00812788" w:rsidP="0098411F">
      <w:pPr>
        <w:widowControl w:val="0"/>
        <w:autoSpaceDE w:val="0"/>
        <w:autoSpaceDN w:val="0"/>
        <w:spacing w:before="1"/>
        <w:ind w:left="100" w:right="118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812788" w:rsidRPr="00812788" w:rsidRDefault="00812788" w:rsidP="0098411F">
      <w:pPr>
        <w:widowControl w:val="0"/>
        <w:autoSpaceDE w:val="0"/>
        <w:autoSpaceDN w:val="0"/>
        <w:spacing w:before="1"/>
        <w:ind w:left="100" w:right="118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98411F" w:rsidRPr="00812788" w:rsidRDefault="0098411F" w:rsidP="0098411F">
      <w:pPr>
        <w:widowControl w:val="0"/>
        <w:autoSpaceDE w:val="0"/>
        <w:autoSpaceDN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sq-AL" w:eastAsia="en-GB" w:bidi="sq-AL"/>
        </w:rPr>
      </w:pPr>
      <w:r w:rsidRPr="00812788">
        <w:rPr>
          <w:rFonts w:ascii="Times New Roman" w:eastAsia="Times New Roman" w:hAnsi="Times New Roman" w:cs="Times New Roman"/>
          <w:b/>
          <w:bCs/>
          <w:lang w:val="sq-AL" w:eastAsia="en-GB" w:bidi="sq-AL"/>
        </w:rPr>
        <w:t>THIRRJE PËR APLIKIM</w:t>
      </w:r>
    </w:p>
    <w:p w:rsidR="0098411F" w:rsidRPr="00812788" w:rsidRDefault="0098411F" w:rsidP="0098411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Ftohen të interesuarit të cilët plotësojnë kriteret e kërkuara sipas legjislacionit në fuqi për trajnimin e trajnerëve, të aplikojnë për trajnerë të ardhshëm për zbatim të këtij programi: </w:t>
      </w:r>
    </w:p>
    <w:p w:rsidR="00FA7E8D" w:rsidRPr="00812788" w:rsidRDefault="0098411F" w:rsidP="00FA7E8D">
      <w:pPr>
        <w:widowControl w:val="0"/>
        <w:autoSpaceDE w:val="0"/>
        <w:autoSpaceDN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val="sq-AL" w:eastAsia="en-GB" w:bidi="sq-AL"/>
        </w:rPr>
      </w:pPr>
      <w:r w:rsidRPr="00812788">
        <w:rPr>
          <w:rFonts w:ascii="Times New Roman" w:eastAsia="Times New Roman" w:hAnsi="Times New Roman" w:cs="Times New Roman"/>
          <w:b/>
          <w:lang w:val="sq-AL" w:eastAsia="en-GB" w:bidi="sq-AL"/>
        </w:rPr>
        <w:t xml:space="preserve">Trajnimi i Trajnerëve </w:t>
      </w:r>
      <w:r w:rsidR="00346729" w:rsidRPr="00812788">
        <w:rPr>
          <w:rFonts w:ascii="Times New Roman" w:eastAsia="Times New Roman" w:hAnsi="Times New Roman" w:cs="Times New Roman"/>
          <w:b/>
          <w:lang w:val="sq-AL" w:eastAsia="en-GB" w:bidi="sq-AL"/>
        </w:rPr>
        <w:t>për</w:t>
      </w:r>
      <w:r w:rsidRPr="00812788">
        <w:rPr>
          <w:rFonts w:ascii="Times New Roman" w:eastAsia="Times New Roman" w:hAnsi="Times New Roman" w:cs="Times New Roman"/>
          <w:b/>
          <w:lang w:val="sq-AL" w:eastAsia="en-GB" w:bidi="sq-AL"/>
        </w:rPr>
        <w:t xml:space="preserve"> </w:t>
      </w:r>
      <w:r w:rsidR="00FA7E8D" w:rsidRPr="00812788">
        <w:rPr>
          <w:rFonts w:ascii="Times New Roman" w:eastAsia="Times New Roman" w:hAnsi="Times New Roman" w:cs="Times New Roman"/>
          <w:b/>
          <w:lang w:val="sq-AL" w:eastAsia="en-GB" w:bidi="sq-AL"/>
        </w:rPr>
        <w:t xml:space="preserve">vlerësimin </w:t>
      </w:r>
      <w:proofErr w:type="spellStart"/>
      <w:r w:rsidR="00FA7E8D" w:rsidRPr="00812788">
        <w:rPr>
          <w:rFonts w:ascii="Times New Roman" w:eastAsia="Times New Roman" w:hAnsi="Times New Roman" w:cs="Times New Roman"/>
          <w:b/>
          <w:lang w:val="sq-AL" w:eastAsia="en-GB" w:bidi="sq-AL"/>
        </w:rPr>
        <w:t>Ex</w:t>
      </w:r>
      <w:proofErr w:type="spellEnd"/>
      <w:r w:rsidR="00FA7E8D" w:rsidRPr="00812788">
        <w:rPr>
          <w:rFonts w:ascii="Times New Roman" w:eastAsia="Times New Roman" w:hAnsi="Times New Roman" w:cs="Times New Roman"/>
          <w:b/>
          <w:lang w:val="sq-AL" w:eastAsia="en-GB" w:bidi="sq-AL"/>
        </w:rPr>
        <w:t>-post</w:t>
      </w:r>
    </w:p>
    <w:p w:rsidR="00FA7E8D" w:rsidRPr="00812788" w:rsidRDefault="00FA7E8D" w:rsidP="00812788">
      <w:pPr>
        <w:widowControl w:val="0"/>
        <w:autoSpaceDE w:val="0"/>
        <w:autoSpaceDN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sq-AL" w:eastAsia="en-GB" w:bidi="sq-AL"/>
        </w:rPr>
      </w:pPr>
      <w:r w:rsidRPr="00812788">
        <w:rPr>
          <w:rFonts w:ascii="Times New Roman" w:eastAsia="Times New Roman" w:hAnsi="Times New Roman" w:cs="Times New Roman"/>
          <w:lang w:val="sq-AL" w:eastAsia="en-GB" w:bidi="sq-AL"/>
        </w:rPr>
        <w:t>Ftohen t</w:t>
      </w:r>
      <w:r w:rsidR="00812788">
        <w:rPr>
          <w:rFonts w:ascii="Times New Roman" w:eastAsia="Times New Roman" w:hAnsi="Times New Roman" w:cs="Times New Roman"/>
          <w:lang w:val="sq-AL" w:eastAsia="en-GB" w:bidi="sq-AL"/>
        </w:rPr>
        <w:t>ë</w:t>
      </w:r>
      <w:r w:rsidRPr="00812788">
        <w:rPr>
          <w:rFonts w:ascii="Times New Roman" w:eastAsia="Times New Roman" w:hAnsi="Times New Roman" w:cs="Times New Roman"/>
          <w:lang w:val="sq-AL" w:eastAsia="en-GB" w:bidi="sq-AL"/>
        </w:rPr>
        <w:t xml:space="preserve"> interesuarit me njohuri në hartimin dhe zbatimin e legjislacionit për të aplikuar në programin “Trajnimi i Trajnerëve në fushën e vlerësimit </w:t>
      </w:r>
      <w:proofErr w:type="spellStart"/>
      <w:r w:rsidRPr="00812788">
        <w:rPr>
          <w:rFonts w:ascii="Times New Roman" w:eastAsia="Times New Roman" w:hAnsi="Times New Roman" w:cs="Times New Roman"/>
          <w:lang w:val="sq-AL" w:eastAsia="en-GB" w:bidi="sq-AL"/>
        </w:rPr>
        <w:t>Ex</w:t>
      </w:r>
      <w:proofErr w:type="spellEnd"/>
      <w:r w:rsidRPr="00812788">
        <w:rPr>
          <w:rFonts w:ascii="Times New Roman" w:eastAsia="Times New Roman" w:hAnsi="Times New Roman" w:cs="Times New Roman"/>
          <w:lang w:val="sq-AL" w:eastAsia="en-GB" w:bidi="sq-AL"/>
        </w:rPr>
        <w:t>-post të Akteve Juridike</w:t>
      </w:r>
    </w:p>
    <w:p w:rsidR="0098411F" w:rsidRPr="00BB1936" w:rsidRDefault="00FA7E8D" w:rsidP="00BB1936">
      <w:pPr>
        <w:widowControl w:val="0"/>
        <w:autoSpaceDE w:val="0"/>
        <w:autoSpaceDN w:val="0"/>
        <w:spacing w:before="10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Qëllimi përfundimtar i këtij programi është që të certifikohen profesioniste të fushës si trajnerë të Instituti</w:t>
      </w:r>
      <w:r w:rsidR="00812788">
        <w:rPr>
          <w:rFonts w:ascii="Times New Roman" w:eastAsia="Times New Roman" w:hAnsi="Times New Roman" w:cs="Times New Roman"/>
          <w:lang w:val="sq-AL" w:eastAsia="sq-AL" w:bidi="sq-AL"/>
        </w:rPr>
        <w:t xml:space="preserve">t të 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 Kosovës për Administratë Publike, për të mbajtur trajnime për vlerësimin </w:t>
      </w:r>
      <w:proofErr w:type="spellStart"/>
      <w:r w:rsidRPr="00812788">
        <w:rPr>
          <w:rFonts w:ascii="Times New Roman" w:eastAsia="Times New Roman" w:hAnsi="Times New Roman" w:cs="Times New Roman"/>
          <w:lang w:val="sq-AL" w:eastAsia="sq-AL" w:bidi="sq-AL"/>
        </w:rPr>
        <w:t>ex</w:t>
      </w:r>
      <w:proofErr w:type="spellEnd"/>
      <w:r w:rsidRPr="00812788">
        <w:rPr>
          <w:rFonts w:ascii="Times New Roman" w:eastAsia="Times New Roman" w:hAnsi="Times New Roman" w:cs="Times New Roman"/>
          <w:lang w:val="sq-AL" w:eastAsia="sq-AL" w:bidi="sq-AL"/>
        </w:rPr>
        <w:t>-post të Akteve Juridike.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  <w:r w:rsidR="00487C31">
        <w:rPr>
          <w:rFonts w:ascii="Times New Roman" w:eastAsia="Times New Roman" w:hAnsi="Times New Roman" w:cs="Times New Roman"/>
          <w:lang w:val="sq-AL" w:eastAsia="sq-AL" w:bidi="sq-AL"/>
        </w:rPr>
        <w:t xml:space="preserve">IKAP 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 xml:space="preserve">inkurajojnë </w:t>
      </w:r>
      <w:r w:rsidR="00BB1936" w:rsidRPr="00BB1936">
        <w:rPr>
          <w:rFonts w:ascii="Times New Roman" w:eastAsia="Times New Roman" w:hAnsi="Times New Roman" w:cs="Times New Roman"/>
          <w:lang w:val="sq-AL" w:eastAsia="sq-AL" w:bidi="sq-AL"/>
        </w:rPr>
        <w:t>Zyrën Ligjore të Zyrës së Kryeministrit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>, Zyrat Ligjore të Ministrive</w:t>
      </w:r>
      <w:r w:rsidR="00487C31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>dhe Agjencive që të aplikojnë për TpT duke i kontribuar ngritjes s</w:t>
      </w:r>
      <w:r w:rsidR="00487C31">
        <w:rPr>
          <w:rFonts w:ascii="Times New Roman" w:eastAsia="Times New Roman" w:hAnsi="Times New Roman" w:cs="Times New Roman"/>
          <w:lang w:val="sq-AL" w:eastAsia="sq-AL" w:bidi="sq-AL"/>
        </w:rPr>
        <w:t>ë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 xml:space="preserve"> cilësisë s</w:t>
      </w:r>
      <w:r w:rsidR="00487C31">
        <w:rPr>
          <w:rFonts w:ascii="Times New Roman" w:eastAsia="Times New Roman" w:hAnsi="Times New Roman" w:cs="Times New Roman"/>
          <w:lang w:val="sq-AL" w:eastAsia="sq-AL" w:bidi="sq-AL"/>
        </w:rPr>
        <w:t>ë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 xml:space="preserve"> trajnimeve n</w:t>
      </w:r>
      <w:r w:rsidR="00487C31">
        <w:rPr>
          <w:rFonts w:ascii="Times New Roman" w:eastAsia="Times New Roman" w:hAnsi="Times New Roman" w:cs="Times New Roman"/>
          <w:lang w:val="sq-AL" w:eastAsia="sq-AL" w:bidi="sq-AL"/>
        </w:rPr>
        <w:t>ë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 xml:space="preserve"> administratën publike.</w:t>
      </w:r>
    </w:p>
    <w:p w:rsidR="00FA7E8D" w:rsidRPr="00812788" w:rsidRDefault="00FA7E8D" w:rsidP="00812788">
      <w:pPr>
        <w:widowControl w:val="0"/>
        <w:autoSpaceDE w:val="0"/>
        <w:autoSpaceDN w:val="0"/>
        <w:spacing w:before="10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812788" w:rsidRDefault="00FA7E8D" w:rsidP="00812788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Programi do të përfshijë kombinim të trajnimit teknik për vlerësimin </w:t>
      </w:r>
      <w:proofErr w:type="spellStart"/>
      <w:r w:rsidRPr="00812788">
        <w:rPr>
          <w:rFonts w:ascii="Times New Roman" w:eastAsia="Times New Roman" w:hAnsi="Times New Roman" w:cs="Times New Roman"/>
          <w:lang w:val="sq-AL" w:eastAsia="sq-AL" w:bidi="sq-AL"/>
        </w:rPr>
        <w:t>Ex</w:t>
      </w:r>
      <w:proofErr w:type="spellEnd"/>
      <w:r w:rsidRPr="00812788">
        <w:rPr>
          <w:rFonts w:ascii="Times New Roman" w:eastAsia="Times New Roman" w:hAnsi="Times New Roman" w:cs="Times New Roman"/>
          <w:lang w:val="sq-AL" w:eastAsia="sq-AL" w:bidi="sq-AL"/>
        </w:rPr>
        <w:t>-post të Akteve Juridike, seanca mbi shkathtësitë prezantuese dhe teknikat për trajnim me pjesëmarrje aktive, si dhe mbi menaxhimin e trajnimit. Përveç kësaj, gjatë programit kandidatët për trajnerë do të përfshihen në mësim duke u angazhuar drejtpërdrejt në vlerësimi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>n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  <w:proofErr w:type="spellStart"/>
      <w:r w:rsidRPr="00812788">
        <w:rPr>
          <w:rFonts w:ascii="Times New Roman" w:eastAsia="Times New Roman" w:hAnsi="Times New Roman" w:cs="Times New Roman"/>
          <w:lang w:val="sq-AL" w:eastAsia="sq-AL" w:bidi="sq-AL"/>
        </w:rPr>
        <w:t>Ex</w:t>
      </w:r>
      <w:proofErr w:type="spellEnd"/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-post të Akteve Juridike që kryhen nga ministritë e linjës sipas planit vjetor të qeverisë për vlerësimin </w:t>
      </w:r>
      <w:proofErr w:type="spellStart"/>
      <w:r w:rsidRPr="00812788">
        <w:rPr>
          <w:rFonts w:ascii="Times New Roman" w:eastAsia="Times New Roman" w:hAnsi="Times New Roman" w:cs="Times New Roman"/>
          <w:lang w:val="sq-AL" w:eastAsia="sq-AL" w:bidi="sq-AL"/>
        </w:rPr>
        <w:t>Ex</w:t>
      </w:r>
      <w:proofErr w:type="spellEnd"/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-post të Akteve Juridike. </w:t>
      </w:r>
    </w:p>
    <w:p w:rsidR="00FA7E8D" w:rsidRPr="00812788" w:rsidRDefault="00FA7E8D" w:rsidP="00812788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Në fund të procesit, pritet që trajnerët të jenë në gjendje të mbajnë vetë trajnim të barasvlershëm për vlerësimin </w:t>
      </w:r>
      <w:proofErr w:type="spellStart"/>
      <w:r w:rsidRPr="00812788">
        <w:rPr>
          <w:rFonts w:ascii="Times New Roman" w:eastAsia="Times New Roman" w:hAnsi="Times New Roman" w:cs="Times New Roman"/>
          <w:lang w:val="sq-AL" w:eastAsia="sq-AL" w:bidi="sq-AL"/>
        </w:rPr>
        <w:t>Ex</w:t>
      </w:r>
      <w:proofErr w:type="spellEnd"/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-post të Akteve Juridike duke përdorur vetë dizajnin e programit dhe materialet. </w:t>
      </w:r>
    </w:p>
    <w:p w:rsidR="00FA7E8D" w:rsidRPr="00812788" w:rsidRDefault="00FA7E8D" w:rsidP="00386207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98411F" w:rsidRPr="00812788" w:rsidRDefault="0098411F" w:rsidP="00386207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Kohëzgjatja dhe koha e mbajtjes s</w:t>
      </w:r>
      <w:r w:rsidR="000B6DEF"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ë</w:t>
      </w:r>
      <w:r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 programit të trajnimit</w:t>
      </w:r>
    </w:p>
    <w:p w:rsidR="00BC1C8C" w:rsidRPr="00812788" w:rsidRDefault="00FA7E8D" w:rsidP="003323E1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bCs/>
          <w:lang w:val="sq-AL" w:eastAsia="sq-AL" w:bidi="sq-AL"/>
        </w:rPr>
        <w:t xml:space="preserve">Trajnimi </w:t>
      </w:r>
      <w:r w:rsidR="00BB1936">
        <w:rPr>
          <w:rFonts w:ascii="Times New Roman" w:eastAsia="Times New Roman" w:hAnsi="Times New Roman" w:cs="Times New Roman"/>
          <w:bCs/>
          <w:lang w:val="sq-AL" w:eastAsia="sq-AL" w:bidi="sq-AL"/>
        </w:rPr>
        <w:t>për Trajnerë TpT</w:t>
      </w:r>
      <w:r w:rsidRPr="00812788">
        <w:rPr>
          <w:rFonts w:ascii="Times New Roman" w:eastAsia="Times New Roman" w:hAnsi="Times New Roman" w:cs="Times New Roman"/>
          <w:bCs/>
          <w:lang w:val="sq-AL" w:eastAsia="sq-AL" w:bidi="sq-AL"/>
        </w:rPr>
        <w:t xml:space="preserve">  pritet të mbahet ne fillim të muajit shtator  2024</w:t>
      </w:r>
    </w:p>
    <w:p w:rsidR="00F4799F" w:rsidRPr="00812788" w:rsidRDefault="00F4799F" w:rsidP="00A25742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</w:p>
    <w:p w:rsidR="0098411F" w:rsidRPr="00812788" w:rsidRDefault="0098411F" w:rsidP="00A25742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Vlerësimi i kandidatëve:</w:t>
      </w:r>
    </w:p>
    <w:p w:rsidR="008E0ABB" w:rsidRPr="00812788" w:rsidRDefault="0098411F" w:rsidP="00A25742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q-AL" w:eastAsia="en-GB" w:bidi="sq-AL"/>
        </w:rPr>
      </w:pPr>
      <w:r w:rsidRPr="00812788">
        <w:rPr>
          <w:rFonts w:ascii="Times New Roman" w:eastAsia="Times New Roman" w:hAnsi="Times New Roman" w:cs="Times New Roman"/>
          <w:bCs/>
          <w:lang w:val="sq-AL" w:eastAsia="en-GB" w:bidi="sq-AL"/>
        </w:rPr>
        <w:t>Në harmoni me Udhëzimin Administrativ të lartcekur, të gjithë kandidatët për trajnerë do të vlerësohen gjatë periudhës dhe pas përfundimit t</w:t>
      </w:r>
      <w:r w:rsidR="008E0ABB" w:rsidRPr="00812788">
        <w:rPr>
          <w:rFonts w:ascii="Times New Roman" w:eastAsia="Times New Roman" w:hAnsi="Times New Roman" w:cs="Times New Roman"/>
          <w:bCs/>
          <w:lang w:val="sq-AL" w:eastAsia="en-GB" w:bidi="sq-AL"/>
        </w:rPr>
        <w:t>ë</w:t>
      </w:r>
      <w:r w:rsidRPr="00812788">
        <w:rPr>
          <w:rFonts w:ascii="Times New Roman" w:eastAsia="Times New Roman" w:hAnsi="Times New Roman" w:cs="Times New Roman"/>
          <w:bCs/>
          <w:lang w:val="sq-AL" w:eastAsia="en-GB" w:bidi="sq-AL"/>
        </w:rPr>
        <w:t xml:space="preserve"> trajnimit. </w:t>
      </w:r>
    </w:p>
    <w:p w:rsidR="0098411F" w:rsidRPr="00812788" w:rsidRDefault="0098411F" w:rsidP="00A25742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q-AL" w:eastAsia="sq-AL" w:bidi="sq-AL"/>
        </w:rPr>
      </w:pPr>
    </w:p>
    <w:p w:rsidR="0098411F" w:rsidRPr="00812788" w:rsidRDefault="0098411F" w:rsidP="0098411F">
      <w:pPr>
        <w:widowControl w:val="0"/>
        <w:autoSpaceDE w:val="0"/>
        <w:autoSpaceDN w:val="0"/>
        <w:spacing w:before="1"/>
        <w:ind w:left="100"/>
        <w:jc w:val="both"/>
        <w:outlineLvl w:val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Aplikacionet vlerësohen në bazë të kritereve si në vijim:</w:t>
      </w:r>
    </w:p>
    <w:p w:rsidR="0098411F" w:rsidRPr="00812788" w:rsidRDefault="0098411F" w:rsidP="0098411F">
      <w:pPr>
        <w:widowControl w:val="0"/>
        <w:numPr>
          <w:ilvl w:val="0"/>
          <w:numId w:val="2"/>
        </w:numPr>
        <w:tabs>
          <w:tab w:val="left" w:pos="459"/>
          <w:tab w:val="left" w:pos="460"/>
        </w:tabs>
        <w:autoSpaceDE w:val="0"/>
        <w:autoSpaceDN w:val="0"/>
        <w:spacing w:before="85" w:line="293" w:lineRule="exact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Arsimimi dhe kualifikimi</w:t>
      </w:r>
      <w:r w:rsidRPr="00812788">
        <w:rPr>
          <w:rFonts w:ascii="Times New Roman" w:eastAsia="Times New Roman" w:hAnsi="Times New Roman" w:cs="Times New Roman"/>
          <w:spacing w:val="-4"/>
          <w:lang w:val="sq-AL" w:eastAsia="sq-AL" w:bidi="sq-AL"/>
        </w:rPr>
        <w:t xml:space="preserve"> 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>profesional:</w:t>
      </w:r>
    </w:p>
    <w:p w:rsidR="0098411F" w:rsidRPr="00812788" w:rsidRDefault="0098411F" w:rsidP="00FA7E8D">
      <w:pPr>
        <w:widowControl w:val="0"/>
        <w:numPr>
          <w:ilvl w:val="0"/>
          <w:numId w:val="2"/>
        </w:numPr>
        <w:tabs>
          <w:tab w:val="left" w:pos="459"/>
          <w:tab w:val="left" w:pos="460"/>
        </w:tabs>
        <w:autoSpaceDE w:val="0"/>
        <w:autoSpaceDN w:val="0"/>
        <w:spacing w:line="293" w:lineRule="exact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Përvoja e</w:t>
      </w:r>
      <w:r w:rsidRPr="00812788">
        <w:rPr>
          <w:rFonts w:ascii="Times New Roman" w:eastAsia="Times New Roman" w:hAnsi="Times New Roman" w:cs="Times New Roman"/>
          <w:spacing w:val="-3"/>
          <w:lang w:val="sq-AL" w:eastAsia="sq-AL" w:bidi="sq-AL"/>
        </w:rPr>
        <w:t xml:space="preserve"> </w:t>
      </w:r>
      <w:r w:rsidR="00FA7E8D" w:rsidRPr="00812788">
        <w:rPr>
          <w:rFonts w:ascii="Times New Roman" w:eastAsia="Times New Roman" w:hAnsi="Times New Roman" w:cs="Times New Roman"/>
          <w:lang w:val="sq-AL" w:eastAsia="sq-AL" w:bidi="sq-AL"/>
        </w:rPr>
        <w:t>punës</w:t>
      </w:r>
      <w:r w:rsidR="00BB1936">
        <w:rPr>
          <w:rFonts w:ascii="Times New Roman" w:eastAsia="Times New Roman" w:hAnsi="Times New Roman" w:cs="Times New Roman"/>
          <w:lang w:val="sq-AL" w:eastAsia="sq-AL" w:bidi="sq-AL"/>
        </w:rPr>
        <w:t xml:space="preserve"> (përparësi kanë zyrtarët e fushës);</w:t>
      </w:r>
      <w:r w:rsidR="00FA7E8D" w:rsidRPr="00812788">
        <w:rPr>
          <w:rFonts w:ascii="Times New Roman" w:hAnsi="Times New Roman" w:cs="Times New Roman"/>
          <w:lang w:val="sq-AL"/>
        </w:rPr>
        <w:t xml:space="preserve"> </w:t>
      </w:r>
      <w:r w:rsidR="00FA7E8D" w:rsidRPr="00812788">
        <w:rPr>
          <w:rFonts w:ascii="Times New Roman" w:eastAsia="Times New Roman" w:hAnsi="Times New Roman" w:cs="Times New Roman"/>
          <w:lang w:val="sq-AL" w:eastAsia="sq-AL" w:bidi="sq-AL"/>
        </w:rPr>
        <w:tab/>
      </w:r>
    </w:p>
    <w:p w:rsidR="0098411F" w:rsidRPr="00812788" w:rsidRDefault="0098411F" w:rsidP="0098411F">
      <w:pPr>
        <w:widowControl w:val="0"/>
        <w:numPr>
          <w:ilvl w:val="0"/>
          <w:numId w:val="2"/>
        </w:numPr>
        <w:tabs>
          <w:tab w:val="left" w:pos="459"/>
          <w:tab w:val="left" w:pos="460"/>
        </w:tabs>
        <w:autoSpaceDE w:val="0"/>
        <w:autoSpaceDN w:val="0"/>
        <w:spacing w:line="293" w:lineRule="exact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Përvoja në</w:t>
      </w:r>
      <w:r w:rsidRPr="00812788">
        <w:rPr>
          <w:rFonts w:ascii="Times New Roman" w:eastAsia="Times New Roman" w:hAnsi="Times New Roman" w:cs="Times New Roman"/>
          <w:spacing w:val="-3"/>
          <w:lang w:val="sq-AL" w:eastAsia="sq-AL" w:bidi="sq-AL"/>
        </w:rPr>
        <w:t xml:space="preserve"> 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>trajnime;</w:t>
      </w:r>
    </w:p>
    <w:p w:rsidR="00FA7E8D" w:rsidRPr="00812788" w:rsidRDefault="0098411F" w:rsidP="00FA7E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Elementet tjera të meritës ( </w:t>
      </w:r>
      <w:r w:rsidR="00FA7E8D" w:rsidRPr="00812788">
        <w:rPr>
          <w:rFonts w:ascii="Times New Roman" w:eastAsia="Times New Roman" w:hAnsi="Times New Roman" w:cs="Times New Roman"/>
          <w:lang w:val="sq-AL" w:eastAsia="sq-AL" w:bidi="sq-AL"/>
        </w:rPr>
        <w:t>publikime në fushën e legjislacionit, pjesëmarrja në hartimin e legjislacionit, certifikatat);</w:t>
      </w:r>
    </w:p>
    <w:p w:rsidR="00FA7E8D" w:rsidRPr="00812788" w:rsidRDefault="00FA7E8D" w:rsidP="00FA7E8D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98411F" w:rsidRPr="00812788" w:rsidRDefault="00A25742" w:rsidP="00FA7E8D">
      <w:pPr>
        <w:widowControl w:val="0"/>
        <w:tabs>
          <w:tab w:val="left" w:pos="459"/>
          <w:tab w:val="left" w:pos="460"/>
        </w:tabs>
        <w:autoSpaceDE w:val="0"/>
        <w:autoSpaceDN w:val="0"/>
        <w:spacing w:before="2" w:line="237" w:lineRule="auto"/>
        <w:ind w:right="12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 </w:t>
      </w:r>
      <w:r w:rsidR="0098411F"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Angazhimi i trajnerëve pas trajnimit:</w:t>
      </w:r>
    </w:p>
    <w:p w:rsidR="0098411F" w:rsidRPr="00812788" w:rsidRDefault="0098411F" w:rsidP="0098411F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FA7E8D" w:rsidRPr="00812788" w:rsidRDefault="00FA7E8D" w:rsidP="0098411F">
      <w:pPr>
        <w:widowControl w:val="0"/>
        <w:autoSpaceDE w:val="0"/>
        <w:autoSpaceDN w:val="0"/>
        <w:ind w:left="100" w:right="12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proofErr w:type="spellStart"/>
      <w:r w:rsidRPr="00812788">
        <w:rPr>
          <w:rFonts w:ascii="Times New Roman" w:eastAsia="Times New Roman" w:hAnsi="Times New Roman" w:cs="Times New Roman"/>
          <w:lang w:val="sq-AL" w:eastAsia="sq-AL" w:bidi="sq-AL"/>
        </w:rPr>
        <w:t>Aplikantët</w:t>
      </w:r>
      <w:proofErr w:type="spellEnd"/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  <w:r w:rsidR="00487C31">
        <w:rPr>
          <w:rFonts w:ascii="Times New Roman" w:eastAsia="Times New Roman" w:hAnsi="Times New Roman" w:cs="Times New Roman"/>
          <w:lang w:val="sq-AL" w:eastAsia="sq-AL" w:bidi="sq-AL"/>
        </w:rPr>
        <w:t>e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 suksesshëm do të angazhohen si trajner sipas nevojave të programit specifik të trajnimit për vlerësimin </w:t>
      </w:r>
      <w:proofErr w:type="spellStart"/>
      <w:r w:rsidRPr="00812788">
        <w:rPr>
          <w:rFonts w:ascii="Times New Roman" w:eastAsia="Times New Roman" w:hAnsi="Times New Roman" w:cs="Times New Roman"/>
          <w:lang w:val="sq-AL" w:eastAsia="sq-AL" w:bidi="sq-AL"/>
        </w:rPr>
        <w:t>ex</w:t>
      </w:r>
      <w:proofErr w:type="spellEnd"/>
      <w:r w:rsidRPr="00812788">
        <w:rPr>
          <w:rFonts w:ascii="Times New Roman" w:eastAsia="Times New Roman" w:hAnsi="Times New Roman" w:cs="Times New Roman"/>
          <w:lang w:val="sq-AL" w:eastAsia="sq-AL" w:bidi="sq-AL"/>
        </w:rPr>
        <w:t>-post nga IKAP</w:t>
      </w:r>
    </w:p>
    <w:p w:rsidR="00FA7E8D" w:rsidRPr="00812788" w:rsidRDefault="00FA7E8D" w:rsidP="0098411F">
      <w:pPr>
        <w:widowControl w:val="0"/>
        <w:autoSpaceDE w:val="0"/>
        <w:autoSpaceDN w:val="0"/>
        <w:ind w:left="100" w:right="12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bookmarkStart w:id="0" w:name="_GoBack"/>
      <w:bookmarkEnd w:id="0"/>
    </w:p>
    <w:p w:rsidR="008E0ABB" w:rsidRPr="00812788" w:rsidRDefault="0098411F" w:rsidP="0098411F">
      <w:pPr>
        <w:widowControl w:val="0"/>
        <w:autoSpaceDE w:val="0"/>
        <w:autoSpaceDN w:val="0"/>
        <w:ind w:left="100" w:right="12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Afati kohor p</w:t>
      </w:r>
      <w:r w:rsidR="00F4799F"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ër dorëzimin e aplikacioneve: </w:t>
      </w:r>
      <w:r w:rsidR="0020743A" w:rsidRPr="0020743A">
        <w:rPr>
          <w:rFonts w:ascii="Times New Roman" w:eastAsia="Times New Roman" w:hAnsi="Times New Roman" w:cs="Times New Roman"/>
          <w:lang w:val="sq-AL" w:eastAsia="sq-AL" w:bidi="sq-AL"/>
        </w:rPr>
        <w:t xml:space="preserve">29.07.2024 </w:t>
      </w:r>
      <w:r w:rsidR="00F4799F" w:rsidRPr="0020743A">
        <w:rPr>
          <w:rFonts w:ascii="Times New Roman" w:eastAsia="Times New Roman" w:hAnsi="Times New Roman" w:cs="Times New Roman"/>
          <w:lang w:val="sq-AL" w:eastAsia="sq-AL" w:bidi="sq-AL"/>
        </w:rPr>
        <w:t xml:space="preserve">deri me </w:t>
      </w:r>
      <w:r w:rsidR="0020743A" w:rsidRPr="0020743A">
        <w:rPr>
          <w:rFonts w:ascii="Times New Roman" w:eastAsia="Times New Roman" w:hAnsi="Times New Roman" w:cs="Times New Roman"/>
          <w:lang w:val="sq-AL" w:eastAsia="sq-AL" w:bidi="sq-AL"/>
        </w:rPr>
        <w:t>12.08.2024</w:t>
      </w:r>
      <w:r w:rsidR="008E0ABB" w:rsidRPr="0020743A">
        <w:rPr>
          <w:rFonts w:ascii="Times New Roman" w:eastAsia="Times New Roman" w:hAnsi="Times New Roman" w:cs="Times New Roman"/>
          <w:lang w:val="sq-AL" w:eastAsia="sq-AL" w:bidi="sq-AL"/>
        </w:rPr>
        <w:t>.</w:t>
      </w:r>
    </w:p>
    <w:p w:rsidR="0098411F" w:rsidRPr="00812788" w:rsidRDefault="0098411F" w:rsidP="0098411F">
      <w:pPr>
        <w:widowControl w:val="0"/>
        <w:autoSpaceDE w:val="0"/>
        <w:autoSpaceDN w:val="0"/>
        <w:ind w:left="100" w:right="12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Numri i kandidatëve që do të përzgjidhen për të vijuar trajnimin është i limituar.</w:t>
      </w:r>
    </w:p>
    <w:p w:rsidR="0098411F" w:rsidRPr="00812788" w:rsidRDefault="0098411F" w:rsidP="0098411F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8E0ABB" w:rsidRPr="00812788" w:rsidRDefault="0098411F" w:rsidP="0098411F">
      <w:pPr>
        <w:widowControl w:val="0"/>
        <w:autoSpaceDE w:val="0"/>
        <w:autoSpaceDN w:val="0"/>
        <w:ind w:left="100" w:right="118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Kandidatët e interesuar duhet të dërgojnë vetëm </w:t>
      </w:r>
      <w:r w:rsidRPr="00812788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CV (formati </w:t>
      </w:r>
      <w:proofErr w:type="spellStart"/>
      <w:r w:rsidRPr="00812788">
        <w:rPr>
          <w:rFonts w:ascii="Times New Roman" w:eastAsia="Times New Roman" w:hAnsi="Times New Roman" w:cs="Times New Roman"/>
          <w:b/>
          <w:lang w:val="sq-AL" w:eastAsia="sq-AL" w:bidi="sq-AL"/>
        </w:rPr>
        <w:t>Europass</w:t>
      </w:r>
      <w:proofErr w:type="spellEnd"/>
      <w:r w:rsidRPr="00812788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) 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dhe një </w:t>
      </w:r>
      <w:r w:rsidRPr="00812788">
        <w:rPr>
          <w:rFonts w:ascii="Times New Roman" w:eastAsia="Times New Roman" w:hAnsi="Times New Roman" w:cs="Times New Roman"/>
          <w:b/>
          <w:lang w:val="sq-AL" w:eastAsia="sq-AL" w:bidi="sq-AL"/>
        </w:rPr>
        <w:t>letër motivimi (</w:t>
      </w:r>
      <w:r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deri në </w:t>
      </w:r>
      <w:r w:rsidRPr="00812788">
        <w:rPr>
          <w:rFonts w:ascii="Times New Roman" w:eastAsia="Times New Roman" w:hAnsi="Times New Roman" w:cs="Times New Roman"/>
          <w:b/>
          <w:lang w:val="sq-AL" w:eastAsia="sq-AL" w:bidi="sq-AL"/>
        </w:rPr>
        <w:t>250 fjalë)</w:t>
      </w:r>
      <w:r w:rsidR="00AD60D8" w:rsidRPr="00812788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 </w:t>
      </w:r>
      <w:r w:rsidR="00AD60D8" w:rsidRPr="00812788">
        <w:rPr>
          <w:rFonts w:ascii="Times New Roman" w:eastAsia="Times New Roman" w:hAnsi="Times New Roman" w:cs="Times New Roman"/>
          <w:lang w:val="sq-AL" w:eastAsia="sq-AL" w:bidi="sq-AL"/>
        </w:rPr>
        <w:t>në mënyrë elektronike në gjuhën shqipe.</w:t>
      </w:r>
    </w:p>
    <w:p w:rsidR="00BB1936" w:rsidRDefault="008E0ABB" w:rsidP="0098411F">
      <w:pPr>
        <w:widowControl w:val="0"/>
        <w:autoSpaceDE w:val="0"/>
        <w:autoSpaceDN w:val="0"/>
        <w:ind w:left="100" w:right="118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bCs/>
          <w:lang w:val="sq-AL" w:eastAsia="sq-AL" w:bidi="sq-AL"/>
        </w:rPr>
        <w:t>Aplikimi bëhet</w:t>
      </w:r>
      <w:r w:rsidRPr="00812788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 </w:t>
      </w:r>
      <w:r w:rsidR="0098411F" w:rsidRPr="00812788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 </w:t>
      </w:r>
      <w:r w:rsidR="0098411F" w:rsidRPr="00812788">
        <w:rPr>
          <w:rFonts w:ascii="Times New Roman" w:eastAsia="Times New Roman" w:hAnsi="Times New Roman" w:cs="Times New Roman"/>
          <w:lang w:val="sq-AL" w:eastAsia="sq-AL" w:bidi="sq-AL"/>
        </w:rPr>
        <w:t>në mënyrë elektronike në e-</w:t>
      </w:r>
      <w:proofErr w:type="spellStart"/>
      <w:r w:rsidR="0098411F" w:rsidRPr="00812788">
        <w:rPr>
          <w:rFonts w:ascii="Times New Roman" w:eastAsia="Times New Roman" w:hAnsi="Times New Roman" w:cs="Times New Roman"/>
          <w:lang w:val="sq-AL" w:eastAsia="sq-AL" w:bidi="sq-AL"/>
        </w:rPr>
        <w:t>mail</w:t>
      </w:r>
      <w:proofErr w:type="spellEnd"/>
      <w:r w:rsidR="0098411F" w:rsidRPr="00812788">
        <w:rPr>
          <w:rFonts w:ascii="Times New Roman" w:eastAsia="Times New Roman" w:hAnsi="Times New Roman" w:cs="Times New Roman"/>
          <w:lang w:val="sq-AL" w:eastAsia="sq-AL" w:bidi="sq-AL"/>
        </w:rPr>
        <w:t xml:space="preserve"> adresën: </w:t>
      </w:r>
      <w:hyperlink r:id="rId9" w:history="1">
        <w:r w:rsidR="0098411F" w:rsidRPr="00812788">
          <w:rPr>
            <w:rFonts w:ascii="Times New Roman" w:eastAsia="Times New Roman" w:hAnsi="Times New Roman" w:cs="Times New Roman"/>
            <w:b/>
            <w:bCs/>
            <w:color w:val="0000FF"/>
            <w:u w:val="single" w:color="0562C1"/>
            <w:lang w:val="sq-AL" w:eastAsia="sq-AL" w:bidi="sq-AL"/>
          </w:rPr>
          <w:t>besart.mulaj@rks-gov.net</w:t>
        </w:r>
        <w:r w:rsidR="0098411F" w:rsidRPr="00812788">
          <w:rPr>
            <w:rFonts w:ascii="Times New Roman" w:eastAsia="Times New Roman" w:hAnsi="Times New Roman" w:cs="Times New Roman"/>
            <w:color w:val="0000FF"/>
            <w:u w:val="single"/>
            <w:lang w:val="sq-AL" w:eastAsia="sq-AL" w:bidi="sq-AL"/>
          </w:rPr>
          <w:t xml:space="preserve"> </w:t>
        </w:r>
      </w:hyperlink>
      <w:r w:rsidR="00346729" w:rsidRPr="00812788">
        <w:rPr>
          <w:rFonts w:ascii="Times New Roman" w:eastAsia="Times New Roman" w:hAnsi="Times New Roman" w:cs="Times New Roman"/>
          <w:lang w:val="sq-AL" w:eastAsia="sq-AL" w:bidi="sq-AL"/>
        </w:rPr>
        <w:t>,</w:t>
      </w:r>
    </w:p>
    <w:p w:rsidR="0098411F" w:rsidRPr="00812788" w:rsidRDefault="0098411F" w:rsidP="0098411F">
      <w:pPr>
        <w:widowControl w:val="0"/>
        <w:autoSpaceDE w:val="0"/>
        <w:autoSpaceDN w:val="0"/>
        <w:ind w:left="100" w:right="118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lang w:val="sq-AL" w:eastAsia="sq-AL" w:bidi="sq-AL"/>
        </w:rPr>
        <w:t>duke specifikuar emërtimin e programit për të cilin aplikojnë.</w:t>
      </w:r>
    </w:p>
    <w:p w:rsidR="0098411F" w:rsidRPr="00812788" w:rsidRDefault="0098411F" w:rsidP="0098411F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lang w:val="sq-AL" w:eastAsia="sq-AL" w:bidi="sq-AL"/>
        </w:rPr>
      </w:pPr>
    </w:p>
    <w:p w:rsidR="0098411F" w:rsidRPr="00812788" w:rsidRDefault="0098411F" w:rsidP="0098411F">
      <w:pPr>
        <w:widowControl w:val="0"/>
        <w:autoSpaceDE w:val="0"/>
        <w:autoSpaceDN w:val="0"/>
        <w:ind w:left="100" w:right="118"/>
        <w:jc w:val="both"/>
        <w:outlineLvl w:val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12788">
        <w:rPr>
          <w:rFonts w:ascii="Times New Roman" w:eastAsia="Times New Roman" w:hAnsi="Times New Roman" w:cs="Times New Roman"/>
          <w:b/>
          <w:bCs/>
          <w:u w:val="thick"/>
          <w:lang w:val="sq-AL" w:eastAsia="sq-AL" w:bidi="sq-AL"/>
        </w:rPr>
        <w:t>Të gjitha kualifikimet dhe dëshmitë e përmendura në CV tuaj mund të kërkohen për</w:t>
      </w:r>
      <w:r w:rsidRPr="00812788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 </w:t>
      </w:r>
      <w:r w:rsidRPr="00812788">
        <w:rPr>
          <w:rFonts w:ascii="Times New Roman" w:eastAsia="Times New Roman" w:hAnsi="Times New Roman" w:cs="Times New Roman"/>
          <w:b/>
          <w:bCs/>
          <w:u w:val="thick"/>
          <w:lang w:val="sq-AL" w:eastAsia="sq-AL" w:bidi="sq-AL"/>
        </w:rPr>
        <w:t>verifikim.</w:t>
      </w:r>
    </w:p>
    <w:p w:rsidR="0098411F" w:rsidRPr="00812788" w:rsidRDefault="0098411F" w:rsidP="00FD0B5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sq-AL" w:eastAsia="en-GB"/>
        </w:rPr>
      </w:pPr>
    </w:p>
    <w:p w:rsidR="002A0F73" w:rsidRPr="00812788" w:rsidRDefault="002A0F73">
      <w:pPr>
        <w:rPr>
          <w:rFonts w:ascii="Times New Roman" w:hAnsi="Times New Roman" w:cs="Times New Roman"/>
          <w:lang w:val="sq-AL"/>
        </w:rPr>
      </w:pPr>
    </w:p>
    <w:sectPr w:rsidR="002A0F73" w:rsidRPr="00812788" w:rsidSect="00FD0B59">
      <w:footerReference w:type="default" r:id="rId10"/>
      <w:pgSz w:w="12240" w:h="15840"/>
      <w:pgMar w:top="6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4F" w:rsidRDefault="008B094F" w:rsidP="00FD0B59">
      <w:r>
        <w:separator/>
      </w:r>
    </w:p>
  </w:endnote>
  <w:endnote w:type="continuationSeparator" w:id="0">
    <w:p w:rsidR="008B094F" w:rsidRDefault="008B094F" w:rsidP="00FD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1F" w:rsidRDefault="009841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6A440" wp14:editId="7387F2BB">
              <wp:simplePos x="0" y="0"/>
              <wp:positionH relativeFrom="page">
                <wp:posOffset>3735705</wp:posOffset>
              </wp:positionH>
              <wp:positionV relativeFrom="page">
                <wp:posOffset>9268460</wp:posOffset>
              </wp:positionV>
              <wp:extent cx="28829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11F" w:rsidRDefault="0098411F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74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6A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5pt;margin-top:729.8pt;width:22.7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lb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" filled="f" stroked="f">
              <v:textbox inset="0,0,0,0">
                <w:txbxContent>
                  <w:p w:rsidR="0098411F" w:rsidRDefault="0098411F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74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4F" w:rsidRDefault="008B094F" w:rsidP="00FD0B59">
      <w:r>
        <w:separator/>
      </w:r>
    </w:p>
  </w:footnote>
  <w:footnote w:type="continuationSeparator" w:id="0">
    <w:p w:rsidR="008B094F" w:rsidRDefault="008B094F" w:rsidP="00FD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2A6"/>
    <w:multiLevelType w:val="hybridMultilevel"/>
    <w:tmpl w:val="699E3E2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99"/>
        <w:lang w:val="sq-AL" w:eastAsia="sq-AL" w:bidi="sq-AL"/>
      </w:rPr>
    </w:lvl>
    <w:lvl w:ilvl="1" w:tplc="7F36C6AA">
      <w:numFmt w:val="bullet"/>
      <w:lvlText w:val="•"/>
      <w:lvlJc w:val="left"/>
      <w:pPr>
        <w:ind w:left="1372" w:hanging="360"/>
      </w:pPr>
      <w:rPr>
        <w:rFonts w:hint="default"/>
        <w:lang w:val="sq-AL" w:eastAsia="sq-AL" w:bidi="sq-AL"/>
      </w:rPr>
    </w:lvl>
    <w:lvl w:ilvl="2" w:tplc="040A5AD0">
      <w:numFmt w:val="bullet"/>
      <w:lvlText w:val="•"/>
      <w:lvlJc w:val="left"/>
      <w:pPr>
        <w:ind w:left="2284" w:hanging="360"/>
      </w:pPr>
      <w:rPr>
        <w:rFonts w:hint="default"/>
        <w:lang w:val="sq-AL" w:eastAsia="sq-AL" w:bidi="sq-AL"/>
      </w:rPr>
    </w:lvl>
    <w:lvl w:ilvl="3" w:tplc="542EFB8C">
      <w:numFmt w:val="bullet"/>
      <w:lvlText w:val="•"/>
      <w:lvlJc w:val="left"/>
      <w:pPr>
        <w:ind w:left="3196" w:hanging="360"/>
      </w:pPr>
      <w:rPr>
        <w:rFonts w:hint="default"/>
        <w:lang w:val="sq-AL" w:eastAsia="sq-AL" w:bidi="sq-AL"/>
      </w:rPr>
    </w:lvl>
    <w:lvl w:ilvl="4" w:tplc="E4146588">
      <w:numFmt w:val="bullet"/>
      <w:lvlText w:val="•"/>
      <w:lvlJc w:val="left"/>
      <w:pPr>
        <w:ind w:left="4108" w:hanging="360"/>
      </w:pPr>
      <w:rPr>
        <w:rFonts w:hint="default"/>
        <w:lang w:val="sq-AL" w:eastAsia="sq-AL" w:bidi="sq-AL"/>
      </w:rPr>
    </w:lvl>
    <w:lvl w:ilvl="5" w:tplc="6D90AD46">
      <w:numFmt w:val="bullet"/>
      <w:lvlText w:val="•"/>
      <w:lvlJc w:val="left"/>
      <w:pPr>
        <w:ind w:left="5020" w:hanging="360"/>
      </w:pPr>
      <w:rPr>
        <w:rFonts w:hint="default"/>
        <w:lang w:val="sq-AL" w:eastAsia="sq-AL" w:bidi="sq-AL"/>
      </w:rPr>
    </w:lvl>
    <w:lvl w:ilvl="6" w:tplc="CA5257E2">
      <w:numFmt w:val="bullet"/>
      <w:lvlText w:val="•"/>
      <w:lvlJc w:val="left"/>
      <w:pPr>
        <w:ind w:left="5932" w:hanging="360"/>
      </w:pPr>
      <w:rPr>
        <w:rFonts w:hint="default"/>
        <w:lang w:val="sq-AL" w:eastAsia="sq-AL" w:bidi="sq-AL"/>
      </w:rPr>
    </w:lvl>
    <w:lvl w:ilvl="7" w:tplc="00A4FF44">
      <w:numFmt w:val="bullet"/>
      <w:lvlText w:val="•"/>
      <w:lvlJc w:val="left"/>
      <w:pPr>
        <w:ind w:left="6844" w:hanging="360"/>
      </w:pPr>
      <w:rPr>
        <w:rFonts w:hint="default"/>
        <w:lang w:val="sq-AL" w:eastAsia="sq-AL" w:bidi="sq-AL"/>
      </w:rPr>
    </w:lvl>
    <w:lvl w:ilvl="8" w:tplc="73D65B9C">
      <w:numFmt w:val="bullet"/>
      <w:lvlText w:val="•"/>
      <w:lvlJc w:val="left"/>
      <w:pPr>
        <w:ind w:left="7756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516F596F"/>
    <w:multiLevelType w:val="multilevel"/>
    <w:tmpl w:val="9F8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46"/>
    <w:rsid w:val="00040EC6"/>
    <w:rsid w:val="000753D7"/>
    <w:rsid w:val="000B6DEF"/>
    <w:rsid w:val="001133B2"/>
    <w:rsid w:val="001636E6"/>
    <w:rsid w:val="001F332D"/>
    <w:rsid w:val="0020743A"/>
    <w:rsid w:val="00207AB2"/>
    <w:rsid w:val="00220689"/>
    <w:rsid w:val="00266A68"/>
    <w:rsid w:val="002A0F73"/>
    <w:rsid w:val="00315935"/>
    <w:rsid w:val="003323E1"/>
    <w:rsid w:val="00346729"/>
    <w:rsid w:val="00386207"/>
    <w:rsid w:val="003B1F4D"/>
    <w:rsid w:val="003C7B3C"/>
    <w:rsid w:val="003E4680"/>
    <w:rsid w:val="003F77D4"/>
    <w:rsid w:val="00442A38"/>
    <w:rsid w:val="00487C31"/>
    <w:rsid w:val="004A6D5F"/>
    <w:rsid w:val="004C52B9"/>
    <w:rsid w:val="00654852"/>
    <w:rsid w:val="006B3E34"/>
    <w:rsid w:val="006D6D7B"/>
    <w:rsid w:val="00712CB7"/>
    <w:rsid w:val="00717055"/>
    <w:rsid w:val="00733706"/>
    <w:rsid w:val="00771FA3"/>
    <w:rsid w:val="007837B5"/>
    <w:rsid w:val="007B6789"/>
    <w:rsid w:val="007E2744"/>
    <w:rsid w:val="00812788"/>
    <w:rsid w:val="00840DD8"/>
    <w:rsid w:val="00876588"/>
    <w:rsid w:val="008B094F"/>
    <w:rsid w:val="008B1B75"/>
    <w:rsid w:val="008E0ABB"/>
    <w:rsid w:val="009354B1"/>
    <w:rsid w:val="0098411F"/>
    <w:rsid w:val="00997B3B"/>
    <w:rsid w:val="009A36EE"/>
    <w:rsid w:val="009B0BF7"/>
    <w:rsid w:val="009B3CC7"/>
    <w:rsid w:val="00A0402B"/>
    <w:rsid w:val="00A25742"/>
    <w:rsid w:val="00A63D4E"/>
    <w:rsid w:val="00A73A46"/>
    <w:rsid w:val="00AD60D8"/>
    <w:rsid w:val="00B6152B"/>
    <w:rsid w:val="00B61C7D"/>
    <w:rsid w:val="00B6741A"/>
    <w:rsid w:val="00BB1936"/>
    <w:rsid w:val="00BC1C8C"/>
    <w:rsid w:val="00C17696"/>
    <w:rsid w:val="00C84E44"/>
    <w:rsid w:val="00CB3CFE"/>
    <w:rsid w:val="00E426CA"/>
    <w:rsid w:val="00E94230"/>
    <w:rsid w:val="00EA1D68"/>
    <w:rsid w:val="00EC544A"/>
    <w:rsid w:val="00EE646B"/>
    <w:rsid w:val="00EF4265"/>
    <w:rsid w:val="00F41733"/>
    <w:rsid w:val="00F4799F"/>
    <w:rsid w:val="00F73E62"/>
    <w:rsid w:val="00FA7E8D"/>
    <w:rsid w:val="00FD0B59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D9FAD"/>
  <w15:chartTrackingRefBased/>
  <w15:docId w15:val="{5D613D26-EB5C-2042-A399-67F04BE8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1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qFormat/>
    <w:rsid w:val="003B1F4D"/>
    <w:pPr>
      <w:spacing w:before="200" w:after="120"/>
      <w:jc w:val="both"/>
    </w:pPr>
    <w:rPr>
      <w:rFonts w:ascii="Tahoma" w:eastAsia="Calibri" w:hAnsi="Tahoma" w:cs="Tahoma"/>
      <w:b/>
      <w:bCs/>
      <w:color w:val="4F81BD"/>
      <w:lang w:val="en-GB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F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A73A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7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055"/>
    <w:rPr>
      <w:b/>
      <w:bCs/>
      <w:sz w:val="20"/>
      <w:szCs w:val="20"/>
    </w:rPr>
  </w:style>
  <w:style w:type="paragraph" w:customStyle="1" w:styleId="Default">
    <w:name w:val="Default"/>
    <w:rsid w:val="00E9423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73E62"/>
  </w:style>
  <w:style w:type="character" w:styleId="Hyperlink">
    <w:name w:val="Hyperlink"/>
    <w:basedOn w:val="DefaultParagraphFont"/>
    <w:uiPriority w:val="99"/>
    <w:unhideWhenUsed/>
    <w:rsid w:val="00997B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B59"/>
  </w:style>
  <w:style w:type="paragraph" w:styleId="Footer">
    <w:name w:val="footer"/>
    <w:basedOn w:val="Normal"/>
    <w:link w:val="FooterChar"/>
    <w:uiPriority w:val="99"/>
    <w:unhideWhenUsed/>
    <w:rsid w:val="00FD0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B59"/>
  </w:style>
  <w:style w:type="character" w:customStyle="1" w:styleId="Heading1Char">
    <w:name w:val="Heading 1 Char"/>
    <w:basedOn w:val="DefaultParagraphFont"/>
    <w:link w:val="Heading1"/>
    <w:uiPriority w:val="9"/>
    <w:rsid w:val="00984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9841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411F"/>
  </w:style>
  <w:style w:type="paragraph" w:styleId="ListParagraph">
    <w:name w:val="List Paragraph"/>
    <w:basedOn w:val="Normal"/>
    <w:uiPriority w:val="34"/>
    <w:qFormat/>
    <w:rsid w:val="00FA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sart.mulaj@rks-gov.ne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Lemmik</dc:creator>
  <cp:keywords/>
  <dc:description/>
  <cp:lastModifiedBy>Besart Mulaj</cp:lastModifiedBy>
  <cp:revision>3</cp:revision>
  <cp:lastPrinted>2024-07-29T09:19:00Z</cp:lastPrinted>
  <dcterms:created xsi:type="dcterms:W3CDTF">2024-07-29T11:22:00Z</dcterms:created>
  <dcterms:modified xsi:type="dcterms:W3CDTF">2024-07-29T13:03:00Z</dcterms:modified>
</cp:coreProperties>
</file>